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ADF" w:rsidRDefault="00603ADF" w:rsidP="00B10EC1">
      <w:pPr>
        <w:jc w:val="center"/>
        <w:rPr>
          <w:rFonts w:ascii="Arial" w:hAnsi="Arial" w:cs="Arial"/>
          <w:b/>
          <w:i w:val="0"/>
          <w:sz w:val="36"/>
          <w:szCs w:val="36"/>
        </w:rPr>
      </w:pPr>
      <w:r>
        <w:rPr>
          <w:rFonts w:ascii="Arial" w:hAnsi="Arial" w:cs="Arial"/>
          <w:b/>
          <w:i w:val="0"/>
          <w:noProof/>
          <w:sz w:val="36"/>
          <w:szCs w:val="36"/>
          <w:lang w:val="sk-SK" w:eastAsia="sk-SK" w:bidi="ar-SA"/>
        </w:rPr>
        <w:drawing>
          <wp:inline distT="0" distB="0" distL="0" distR="0">
            <wp:extent cx="5759450" cy="3926586"/>
            <wp:effectExtent l="19050" t="0" r="0" b="0"/>
            <wp:docPr id="1" name="Obrázok 1" descr="R:\RPIC NOVE\nase obrazky\iStock_00001942363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RPIC NOVE\nase obrazky\iStock_000019423637_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2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C1" w:rsidRPr="00603ADF" w:rsidRDefault="00B10EC1" w:rsidP="00B10EC1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  <w:r w:rsidRPr="00603ADF">
        <w:rPr>
          <w:rFonts w:ascii="Arial" w:hAnsi="Arial" w:cs="Arial"/>
          <w:b/>
          <w:i w:val="0"/>
          <w:sz w:val="36"/>
          <w:szCs w:val="36"/>
          <w:u w:val="single"/>
        </w:rPr>
        <w:t>2014</w:t>
      </w:r>
      <w:r w:rsidR="00E10FE5" w:rsidRPr="00603ADF">
        <w:rPr>
          <w:rFonts w:ascii="Arial" w:hAnsi="Arial" w:cs="Arial"/>
          <w:b/>
          <w:i w:val="0"/>
          <w:sz w:val="36"/>
          <w:szCs w:val="36"/>
          <w:u w:val="single"/>
        </w:rPr>
        <w:t xml:space="preserve"> </w:t>
      </w:r>
      <w:r w:rsidR="00B94DC3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(</w:t>
      </w:r>
      <w:r w:rsidR="00E10FE5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Fáza</w:t>
      </w:r>
      <w:r w:rsidR="00B94DC3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 xml:space="preserve"> 1</w:t>
      </w:r>
      <w:r w:rsidR="00E10FE5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)</w:t>
      </w:r>
    </w:p>
    <w:p w:rsidR="00B10EC1" w:rsidRDefault="00B10EC1">
      <w:pPr>
        <w:rPr>
          <w:rFonts w:ascii="Arial" w:hAnsi="Arial" w:cs="Arial"/>
          <w:b/>
          <w:i w:val="0"/>
          <w:sz w:val="22"/>
          <w:szCs w:val="22"/>
        </w:rPr>
      </w:pPr>
    </w:p>
    <w:p w:rsidR="00D80335" w:rsidRPr="00167F55" w:rsidRDefault="00FB2470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Názov:</w:t>
      </w:r>
      <w:r w:rsidRPr="00167F55">
        <w:rPr>
          <w:rFonts w:ascii="Arial" w:hAnsi="Arial" w:cs="Arial"/>
          <w:i w:val="0"/>
          <w:sz w:val="22"/>
          <w:szCs w:val="22"/>
        </w:rPr>
        <w:t xml:space="preserve"> </w:t>
      </w:r>
      <w:hyperlink r:id="rId8" w:history="1">
        <w:r w:rsidR="00FF5503">
          <w:rPr>
            <w:rStyle w:val="Hypertextovprepojenie"/>
            <w:rFonts w:ascii="Arial" w:hAnsi="Arial" w:cs="Arial"/>
            <w:i w:val="0"/>
            <w:sz w:val="22"/>
            <w:szCs w:val="22"/>
          </w:rPr>
          <w:t>Nástroj pre MSP: Vesmír-MSP</w:t>
        </w:r>
        <w:r w:rsidRPr="00167F55">
          <w:rPr>
            <w:rStyle w:val="Hypertextovprepojenie"/>
            <w:rFonts w:ascii="Arial" w:hAnsi="Arial" w:cs="Arial"/>
            <w:i w:val="0"/>
            <w:sz w:val="22"/>
            <w:szCs w:val="22"/>
          </w:rPr>
          <w:t>-2014-1</w:t>
        </w:r>
      </w:hyperlink>
    </w:p>
    <w:p w:rsidR="00FB2470" w:rsidRPr="00167F55" w:rsidRDefault="00FB2470" w:rsidP="00796A01">
      <w:pPr>
        <w:jc w:val="both"/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Konkrétna výzva:</w:t>
      </w:r>
      <w:r w:rsidR="00167F55" w:rsidRPr="00167F55">
        <w:rPr>
          <w:rFonts w:ascii="Arial" w:hAnsi="Arial" w:cs="Arial"/>
          <w:i w:val="0"/>
          <w:sz w:val="22"/>
          <w:szCs w:val="22"/>
        </w:rPr>
        <w:t xml:space="preserve"> Z</w:t>
      </w:r>
      <w:r w:rsidRPr="00167F55">
        <w:rPr>
          <w:rFonts w:ascii="Arial" w:hAnsi="Arial" w:cs="Arial"/>
          <w:i w:val="0"/>
          <w:sz w:val="22"/>
          <w:szCs w:val="22"/>
        </w:rPr>
        <w:t>apojenie MSP do vesmírneho výskumu a vývoja</w:t>
      </w:r>
      <w:r w:rsidR="00167F55">
        <w:rPr>
          <w:rFonts w:ascii="Arial" w:hAnsi="Arial" w:cs="Arial"/>
          <w:i w:val="0"/>
          <w:sz w:val="22"/>
          <w:szCs w:val="22"/>
        </w:rPr>
        <w:t>, najmä tých, ktorí nie sú tradične zapojení a čo najviac znížiť vstupné prekážky</w:t>
      </w:r>
      <w:r w:rsidR="00FF5503">
        <w:rPr>
          <w:rFonts w:ascii="Arial" w:hAnsi="Arial" w:cs="Arial"/>
          <w:i w:val="0"/>
          <w:sz w:val="22"/>
          <w:szCs w:val="22"/>
        </w:rPr>
        <w:t xml:space="preserve"> MSP k financovaniu Horizontu 2020.</w:t>
      </w:r>
    </w:p>
    <w:p w:rsidR="00167F55" w:rsidRPr="00167F55" w:rsidRDefault="00167F55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Deadline:</w:t>
      </w:r>
      <w:r w:rsidRPr="00167F55">
        <w:rPr>
          <w:rFonts w:ascii="Arial" w:hAnsi="Arial" w:cs="Arial"/>
          <w:i w:val="0"/>
          <w:sz w:val="22"/>
          <w:szCs w:val="22"/>
        </w:rPr>
        <w:t xml:space="preserve"> 17.12.2014</w:t>
      </w:r>
    </w:p>
    <w:p w:rsidR="00FB2470" w:rsidRPr="00167F55" w:rsidRDefault="00FB2470">
      <w:pPr>
        <w:rPr>
          <w:rFonts w:ascii="Arial" w:hAnsi="Arial" w:cs="Arial"/>
          <w:i w:val="0"/>
          <w:sz w:val="22"/>
          <w:szCs w:val="22"/>
        </w:rPr>
      </w:pPr>
    </w:p>
    <w:p w:rsidR="00FB2470" w:rsidRPr="00167F55" w:rsidRDefault="00FB2470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9" w:history="1">
        <w:r w:rsidRPr="00167F55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Otvorená prierazová inovačná schéma (implementované prostredníctvom Nástroja pre MSP):ICT-37-2014-1</w:t>
        </w:r>
      </w:hyperlink>
    </w:p>
    <w:p w:rsidR="00FB2470" w:rsidRPr="00167F55" w:rsidRDefault="00FB2470" w:rsidP="00796A01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="00167F55" w:rsidRPr="00167F55">
        <w:rPr>
          <w:rFonts w:ascii="Arial" w:hAnsi="Arial" w:cs="Arial"/>
          <w:i w:val="0"/>
          <w:sz w:val="22"/>
          <w:szCs w:val="22"/>
          <w:lang w:val="sk-SK"/>
        </w:rPr>
        <w:t>Úlohou je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poskytovať podporu </w:t>
      </w:r>
      <w:r w:rsidR="00FF5503">
        <w:rPr>
          <w:rFonts w:ascii="Arial" w:hAnsi="Arial" w:cs="Arial"/>
          <w:i w:val="0"/>
          <w:sz w:val="22"/>
          <w:szCs w:val="22"/>
          <w:lang w:val="sk-SK"/>
        </w:rPr>
        <w:t xml:space="preserve">celému súboru počiatočnej fázy vysoko rizikovým inovatívnym MSP v odvetví IKT. </w:t>
      </w:r>
      <w:r w:rsidR="00FF5503" w:rsidRPr="00FF5503">
        <w:rPr>
          <w:rFonts w:ascii="Arial" w:hAnsi="Arial" w:cs="Arial"/>
          <w:i w:val="0"/>
          <w:sz w:val="22"/>
          <w:szCs w:val="22"/>
          <w:lang w:val="sk-SK"/>
        </w:rPr>
        <w:t xml:space="preserve">Dôraz sa bude klásť na 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podnikateľský inovatívny</w:t>
      </w:r>
      <w:r w:rsidR="00796A01" w:rsidRPr="00FF5503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koncept</w:t>
      </w:r>
      <w:r w:rsidR="00FF5503" w:rsidRPr="00FF5503">
        <w:rPr>
          <w:rFonts w:ascii="Arial" w:hAnsi="Arial" w:cs="Arial"/>
          <w:i w:val="0"/>
          <w:sz w:val="22"/>
          <w:szCs w:val="22"/>
          <w:lang w:val="sk-SK"/>
        </w:rPr>
        <w:t xml:space="preserve"> informačných a komunikačných te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chnológií, produktov a služieb vzťahujúcich sa na nové súbory</w:t>
      </w:r>
      <w:r w:rsidR="00FF5503" w:rsidRPr="00FF5503">
        <w:rPr>
          <w:rFonts w:ascii="Arial" w:hAnsi="Arial" w:cs="Arial"/>
          <w:i w:val="0"/>
          <w:sz w:val="22"/>
          <w:szCs w:val="22"/>
          <w:lang w:val="sk-SK"/>
        </w:rPr>
        <w:t xml:space="preserve"> pravidiel, hodnôt a modelov, k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toré v konečnom dôsledku narušia</w:t>
      </w:r>
      <w:r w:rsidR="00FF5503" w:rsidRPr="00FF5503">
        <w:rPr>
          <w:rFonts w:ascii="Arial" w:hAnsi="Arial" w:cs="Arial"/>
          <w:i w:val="0"/>
          <w:sz w:val="22"/>
          <w:szCs w:val="22"/>
          <w:lang w:val="sk-SK"/>
        </w:rPr>
        <w:t xml:space="preserve"> existujúce trhy.</w:t>
      </w:r>
    </w:p>
    <w:p w:rsidR="00167F55" w:rsidRDefault="00167F55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167F55" w:rsidRPr="00796A01" w:rsidRDefault="00167F55">
      <w:pPr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167F55" w:rsidRDefault="00167F55">
      <w:pPr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0" w:history="1">
        <w:r w:rsidRPr="009D600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Urýchlenie zavádzania nanotechnologií, pokročilých materiálov a technológií pokročilej výroby a spracovania zo strany MSP</w:t>
        </w:r>
        <w:r w:rsidR="009D6003" w:rsidRPr="009D600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: NMP-25-2014-1</w:t>
        </w:r>
      </w:hyperlink>
    </w:p>
    <w:p w:rsidR="00167F55" w:rsidRDefault="00167F55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 xml:space="preserve">Konkrétna výzva: 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 xml:space="preserve">Výsledky výskumu by </w:t>
      </w:r>
      <w:r w:rsidR="009D6003">
        <w:rPr>
          <w:rFonts w:ascii="Arial" w:hAnsi="Arial" w:cs="Arial"/>
          <w:i w:val="0"/>
          <w:sz w:val="22"/>
          <w:szCs w:val="22"/>
          <w:lang w:val="sk-SK"/>
        </w:rPr>
        <w:t xml:space="preserve">mali byť využité v priemysle, 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>zber</w:t>
      </w:r>
      <w:r w:rsidR="009D6003">
        <w:rPr>
          <w:rFonts w:ascii="Arial" w:hAnsi="Arial" w:cs="Arial"/>
          <w:i w:val="0"/>
          <w:sz w:val="22"/>
          <w:szCs w:val="22"/>
          <w:lang w:val="sk-SK"/>
        </w:rPr>
        <w:t>anie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 xml:space="preserve"> doteraz nevyužitý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ch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 xml:space="preserve"> potenciál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nych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nanotechnológií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>, pokročilých materiálov a</w:t>
      </w:r>
      <w:r w:rsidR="00796A01">
        <w:rPr>
          <w:rFonts w:ascii="Arial" w:hAnsi="Arial" w:cs="Arial"/>
          <w:i w:val="0"/>
          <w:sz w:val="22"/>
          <w:szCs w:val="22"/>
          <w:lang w:val="sk-SK"/>
        </w:rPr>
        <w:t> technológií pokročilej výroby a spracovania.</w:t>
      </w:r>
      <w:r w:rsidR="00796A01"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="009D6003" w:rsidRPr="009D6003">
        <w:rPr>
          <w:rFonts w:ascii="Arial" w:hAnsi="Arial" w:cs="Arial"/>
          <w:i w:val="0"/>
          <w:sz w:val="22"/>
          <w:szCs w:val="22"/>
          <w:lang w:val="sk-SK"/>
        </w:rPr>
        <w:t>Výskum by mal priniesť technológie a výroby k priemyselnej pripravenosti a zrelosti pre komercializáciu po projekte.</w:t>
      </w:r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1" w:history="1">
        <w:r w:rsidRPr="009D6003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Klinický výskum pre validáciu biomarkerov a / alebo diagnostika zdravotníckych pomôcok: PHC-12-2014-1</w:t>
        </w:r>
      </w:hyperlink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Biomarkery sa používajú v klinickej praxi k popisu normálnych aj patologických stavov.</w:t>
      </w:r>
      <w:r w:rsidRPr="009D6003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Môžu mať tiež prognostickú alebo prediktívnu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silu.</w:t>
      </w:r>
      <w:r w:rsidRPr="009D6003"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Preto sa stále viac používajú v lekárstve a mn</w:t>
      </w:r>
      <w:r>
        <w:rPr>
          <w:rFonts w:ascii="Arial" w:hAnsi="Arial" w:cs="Arial"/>
          <w:i w:val="0"/>
          <w:sz w:val="22"/>
          <w:szCs w:val="22"/>
          <w:lang w:val="sk-SK"/>
        </w:rPr>
        <w:t>oho potenciálnych biomarkerov je navrhnutých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každý rok.</w:t>
      </w:r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1008F1" w:rsidRDefault="001008F1" w:rsidP="009D6003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9D6003" w:rsidRDefault="009D6003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9D6003">
        <w:t xml:space="preserve"> </w:t>
      </w:r>
      <w:hyperlink r:id="rId12" w:history="1">
        <w:r w:rsidRPr="00E8658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Menej náročná na zdroje eko-inovačná výroba a spracovanie potravín</w:t>
        </w:r>
        <w:r w:rsidR="00E86586" w:rsidRPr="00E8658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: SFS-08-2014-1</w:t>
        </w:r>
      </w:hyperlink>
    </w:p>
    <w:p w:rsidR="00E86586" w:rsidRDefault="00E86586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E86586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Ostať konkurencieschopný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, obmedziť poškodzovanie životného prostredia a optimalizovať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efektívne využívanie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zdrojov, rozvoj viacerých </w:t>
      </w:r>
      <w:r>
        <w:rPr>
          <w:rFonts w:ascii="Arial" w:hAnsi="Arial" w:cs="Arial"/>
          <w:i w:val="0"/>
          <w:sz w:val="22"/>
          <w:szCs w:val="22"/>
          <w:lang w:val="sk-SK"/>
        </w:rPr>
        <w:t>menej náročných zdrojov a trvalo udržateľnej produkcie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a spracovania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potravín, v celom potravinovom systéme, na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všetkých úrovniach podnikania konkurenčný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m a inovatívnym spôsobom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1008F1" w:rsidRDefault="001008F1" w:rsidP="001008F1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1008F1" w:rsidRDefault="001008F1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1008F1" w:rsidRDefault="001008F1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13" w:history="1">
        <w:r w:rsidRPr="008654E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 xml:space="preserve">Podpora podnikateľského úsilia pre rozvoj – </w:t>
        </w:r>
        <w:r w:rsidR="008654E6" w:rsidRPr="008654E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 xml:space="preserve">nasadenie </w:t>
        </w:r>
        <w:r w:rsidRPr="008654E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a trhové uplatnenie inovačných riešení</w:t>
        </w:r>
        <w:r w:rsidR="008654E6" w:rsidRPr="008654E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 xml:space="preserve"> pre blue growth: BG-12-2014-1</w:t>
        </w:r>
      </w:hyperlink>
    </w:p>
    <w:p w:rsidR="008654E6" w:rsidRDefault="008654E6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Potenciál európskych oceánov, morí a pobreží je významný pre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tvorbu pracovných miest a rast v prípade, že príslušné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 xml:space="preserve"> investície do výskumu a inovácií sú </w:t>
      </w:r>
      <w:r>
        <w:rPr>
          <w:rFonts w:ascii="Arial" w:hAnsi="Arial" w:cs="Arial"/>
          <w:i w:val="0"/>
          <w:sz w:val="22"/>
          <w:szCs w:val="22"/>
          <w:lang w:val="sk-SK"/>
        </w:rPr>
        <w:t>za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be</w:t>
      </w:r>
      <w:r>
        <w:rPr>
          <w:rFonts w:ascii="Arial" w:hAnsi="Arial" w:cs="Arial"/>
          <w:i w:val="0"/>
          <w:sz w:val="22"/>
          <w:szCs w:val="22"/>
          <w:lang w:val="sk-SK"/>
        </w:rPr>
        <w:t>zpeče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né.</w:t>
      </w:r>
    </w:p>
    <w:p w:rsidR="00D879C9" w:rsidRDefault="00D879C9" w:rsidP="00D879C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D879C9" w:rsidRDefault="00D879C9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603ADF" w:rsidRDefault="00603ADF" w:rsidP="009D6003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D879C9" w:rsidRDefault="00D879C9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14" w:history="1">
        <w:r w:rsidRPr="00D879C9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Povzbudenie inovačného potenciálu MSP pre systém nízko uhlíkovej energie: SIE-01-2014-1</w:t>
        </w:r>
      </w:hyperlink>
    </w:p>
    <w:p w:rsidR="00D879C9" w:rsidRPr="00D879C9" w:rsidRDefault="00D879C9" w:rsidP="009D6003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="00114B8D" w:rsidRPr="00114B8D">
        <w:rPr>
          <w:rFonts w:ascii="Arial" w:hAnsi="Arial" w:cs="Arial"/>
          <w:i w:val="0"/>
          <w:sz w:val="22"/>
          <w:szCs w:val="22"/>
          <w:lang w:val="sk-SK"/>
        </w:rPr>
        <w:t>Malé a stredné podniky zohrávajú kľúčovú úlohu v rozvoji zdrojov</w:t>
      </w:r>
      <w:r w:rsidR="00114B8D">
        <w:rPr>
          <w:rFonts w:ascii="Arial" w:hAnsi="Arial" w:cs="Arial"/>
          <w:i w:val="0"/>
          <w:sz w:val="22"/>
          <w:szCs w:val="22"/>
          <w:lang w:val="sk-SK"/>
        </w:rPr>
        <w:t>o efektívnych, nákladovo efektívnych a cenovo dostupných riešení, technológií</w:t>
      </w:r>
      <w:r w:rsidR="00114B8D" w:rsidRPr="00114B8D">
        <w:rPr>
          <w:rFonts w:ascii="Arial" w:hAnsi="Arial" w:cs="Arial"/>
          <w:i w:val="0"/>
          <w:sz w:val="22"/>
          <w:szCs w:val="22"/>
          <w:lang w:val="sk-SK"/>
        </w:rPr>
        <w:t xml:space="preserve"> emisie uhlíka a zefektívnenie energetického systému udržateľným spôsobom.</w:t>
      </w:r>
    </w:p>
    <w:p w:rsidR="00114B8D" w:rsidRDefault="00114B8D" w:rsidP="00114B8D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D879C9" w:rsidRDefault="00D879C9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114B8D" w:rsidRDefault="00114B8D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15" w:history="1">
        <w:r w:rsidRPr="00114B8D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Malý podnik inovačného výskumu pre dopravu: IT-1-2014-1</w:t>
        </w:r>
      </w:hyperlink>
    </w:p>
    <w:p w:rsidR="00114B8D" w:rsidRDefault="00114B8D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Európske odvetvie dopravy musia mať schopnosť poskytovať tie najlepšie produkty a služby, v čase a nákladovo efektív</w:t>
      </w:r>
      <w:r>
        <w:rPr>
          <w:rFonts w:ascii="Arial" w:hAnsi="Arial" w:cs="Arial"/>
          <w:i w:val="0"/>
          <w:sz w:val="22"/>
          <w:szCs w:val="22"/>
          <w:lang w:val="sk-SK"/>
        </w:rPr>
        <w:t>nym spôsobom, aby bola zachované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jeho vedenie a vytváranie nových pracovný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ch miest, rovnako ako riešenie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životného prostredia a mobility.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Úloha malých a stredných podnikov k riešeniu týchto problémov </w:t>
      </w:r>
      <w:r>
        <w:rPr>
          <w:rFonts w:ascii="Arial" w:hAnsi="Arial" w:cs="Arial"/>
          <w:i w:val="0"/>
          <w:sz w:val="22"/>
          <w:szCs w:val="22"/>
          <w:lang w:val="sk-SK"/>
        </w:rPr>
        <w:t>je dôležitá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, pretože sú hlavnými aktérmi v dodávateľských reťazcoch.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Posilnenie zapojenia slabších hráčov v inovačných aktivitách, ako aj uľahčiť zakladanie a vznik nových high-tech podnikov má prvoradý význam.</w:t>
      </w:r>
    </w:p>
    <w:p w:rsidR="00114B8D" w:rsidRDefault="00114B8D" w:rsidP="00114B8D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C26106" w:rsidRDefault="00C26106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A37865" w:rsidRDefault="00A37865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16" w:history="1">
        <w:r w:rsidRPr="00C2610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Posilnenie potenciálu malých podnikov, ekologických inovácií a udržateľné</w:t>
        </w:r>
        <w:r w:rsidR="00C26106" w:rsidRPr="00C2610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ho dodávania</w:t>
        </w:r>
        <w:r w:rsidRPr="00C2610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 xml:space="preserve"> surovín</w:t>
        </w:r>
        <w:r w:rsidR="00C26106" w:rsidRPr="00C2610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: SC5-20-2014-1</w:t>
        </w:r>
      </w:hyperlink>
    </w:p>
    <w:p w:rsidR="00C26106" w:rsidRDefault="00C2610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Inovatívne malé a stredné podniky boli uznané ako schopné stať sa motorom zelenej ekonomiky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uľahčiť prechod k efektívnym  zdrojom, kruhovej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ekonomiky.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Môžu zohrávať dôležitú úlohu pri pomoci EÚ pre odchod z ekonomickej krízy a pri vytváraní pracovných miest.</w:t>
      </w:r>
    </w:p>
    <w:p w:rsidR="00C26106" w:rsidRDefault="00C26106" w:rsidP="00C2610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C26106" w:rsidRDefault="00C2610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p w:rsidR="00C26106" w:rsidRDefault="00C2610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17" w:history="1">
        <w:r w:rsidRPr="00C2610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Kritická ochrana infraštruktúry téma 7: Téma Nástroj pre MSP: "Ochrana mestských mäkkých cieľov a mestských kritických infraštruktúr": DRS-17-2014-1</w:t>
        </w:r>
      </w:hyperlink>
    </w:p>
    <w:p w:rsidR="00C26106" w:rsidRDefault="00C2610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C26106"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Cieľom je zapojiť </w:t>
      </w:r>
      <w:r>
        <w:rPr>
          <w:rFonts w:ascii="Arial" w:hAnsi="Arial" w:cs="Arial"/>
          <w:i w:val="0"/>
          <w:sz w:val="22"/>
          <w:szCs w:val="22"/>
          <w:lang w:val="sk-SK"/>
        </w:rPr>
        <w:t>NSP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v oblasti </w:t>
      </w:r>
      <w:r w:rsidR="00FB4B26" w:rsidRPr="00C26106">
        <w:rPr>
          <w:rFonts w:ascii="Arial" w:hAnsi="Arial" w:cs="Arial"/>
          <w:i w:val="0"/>
          <w:sz w:val="22"/>
          <w:szCs w:val="22"/>
          <w:lang w:val="sk-SK"/>
        </w:rPr>
        <w:t xml:space="preserve">bezpečnosti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výskumu a vývoja, a to najmä s cieľom uľahčiť a urýchliť prechod svojich vyvinutých produktov / služieb na trh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FB4B26" w:rsidRDefault="00FB4B26" w:rsidP="00FB4B2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FB4B26" w:rsidRDefault="00FB4B26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603ADF" w:rsidRDefault="00603ADF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603ADF" w:rsidRDefault="00603ADF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FB4B26" w:rsidRDefault="00FB4B2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FB4B26">
        <w:t xml:space="preserve"> </w:t>
      </w:r>
      <w:hyperlink r:id="rId18" w:history="1">
        <w:r w:rsidRPr="00FB4B26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MSP podporujúce tvorbu biotechnológií na báze priemyselných procesov riadiacich konkurencieschopnosť a udržateľnosť: BIOTEC-5a-2014-1</w:t>
        </w:r>
      </w:hyperlink>
    </w:p>
    <w:p w:rsidR="00FB4B26" w:rsidRPr="00FB4B26" w:rsidRDefault="00FB4B26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Veľký počet </w:t>
      </w:r>
      <w:r>
        <w:rPr>
          <w:rFonts w:ascii="Arial" w:hAnsi="Arial" w:cs="Arial"/>
          <w:i w:val="0"/>
          <w:sz w:val="22"/>
          <w:szCs w:val="22"/>
          <w:lang w:val="sk-SK"/>
        </w:rPr>
        <w:t>MSP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, ktoré c</w:t>
      </w:r>
      <w:r>
        <w:rPr>
          <w:rFonts w:ascii="Arial" w:hAnsi="Arial" w:cs="Arial"/>
          <w:i w:val="0"/>
          <w:sz w:val="22"/>
          <w:szCs w:val="22"/>
          <w:lang w:val="sk-SK"/>
        </w:rPr>
        <w:t>harakterizujú biotechnologický sektor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EÚ zohrávajú kľúčovú úlohu v prechode na konkurencieschopné a udržat</w:t>
      </w:r>
      <w:r>
        <w:rPr>
          <w:rFonts w:ascii="Arial" w:hAnsi="Arial" w:cs="Arial"/>
          <w:i w:val="0"/>
          <w:sz w:val="22"/>
          <w:szCs w:val="22"/>
          <w:lang w:val="sk-SK"/>
        </w:rPr>
        <w:t>eľné biotechnologických procesy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.</w:t>
      </w:r>
      <w:r w:rsidRPr="00FB4B26"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Tieto malé a stredné podniky sa vyznačujú intenzitou vý</w:t>
      </w:r>
      <w:r>
        <w:rPr>
          <w:rFonts w:ascii="Arial" w:hAnsi="Arial" w:cs="Arial"/>
          <w:i w:val="0"/>
          <w:sz w:val="22"/>
          <w:szCs w:val="22"/>
          <w:lang w:val="sk-SK"/>
        </w:rPr>
        <w:t>skumu a dlhou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dobou rozbehu medzi začiatkom technologického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vývo</w:t>
      </w:r>
      <w:r>
        <w:rPr>
          <w:rFonts w:ascii="Arial" w:hAnsi="Arial" w:cs="Arial"/>
          <w:i w:val="0"/>
          <w:sz w:val="22"/>
          <w:szCs w:val="22"/>
          <w:lang w:val="sk-SK"/>
        </w:rPr>
        <w:t>ja a uvedenia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na trh. Preto je potrebné podporovať </w:t>
      </w:r>
      <w:r>
        <w:rPr>
          <w:rFonts w:ascii="Arial" w:hAnsi="Arial" w:cs="Arial"/>
          <w:i w:val="0"/>
          <w:sz w:val="22"/>
          <w:szCs w:val="22"/>
          <w:lang w:val="sk-SK"/>
        </w:rPr>
        <w:t>prekonanie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tzv</w:t>
      </w:r>
      <w:r>
        <w:rPr>
          <w:rFonts w:ascii="Arial" w:hAnsi="Arial" w:cs="Arial"/>
          <w:i w:val="0"/>
          <w:sz w:val="22"/>
          <w:szCs w:val="22"/>
          <w:lang w:val="sk-SK"/>
        </w:rPr>
        <w:t>. "údolia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smrti".</w:t>
      </w:r>
    </w:p>
    <w:p w:rsidR="001F1A5F" w:rsidRDefault="001F1A5F" w:rsidP="001F1A5F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B10EC1" w:rsidRDefault="00B10EC1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B10EC1" w:rsidRDefault="00B10EC1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44548C" w:rsidRDefault="0044548C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E10FE5" w:rsidRDefault="00B94DC3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  <w:r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lastRenderedPageBreak/>
        <w:t>2014 (</w:t>
      </w:r>
      <w:r w:rsidR="00E10FE5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Fáza</w:t>
      </w:r>
      <w:r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 xml:space="preserve"> 2</w:t>
      </w:r>
      <w:r w:rsidR="00E10FE5" w:rsidRPr="00603ADF">
        <w:rPr>
          <w:rFonts w:ascii="Arial" w:hAnsi="Arial" w:cs="Arial"/>
          <w:b/>
          <w:i w:val="0"/>
          <w:sz w:val="36"/>
          <w:szCs w:val="36"/>
          <w:u w:val="single"/>
          <w:lang w:val="sk-SK"/>
        </w:rPr>
        <w:t>)</w:t>
      </w:r>
    </w:p>
    <w:p w:rsidR="00603ADF" w:rsidRPr="00603ADF" w:rsidRDefault="00603ADF" w:rsidP="00E23D90">
      <w:pPr>
        <w:jc w:val="center"/>
        <w:rPr>
          <w:rFonts w:ascii="Arial" w:hAnsi="Arial" w:cs="Arial"/>
          <w:b/>
          <w:i w:val="0"/>
          <w:sz w:val="36"/>
          <w:szCs w:val="36"/>
          <w:u w:val="single"/>
          <w:lang w:val="sk-SK"/>
        </w:rPr>
      </w:pP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19" w:history="1">
        <w:r w:rsidRPr="00F640E4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Posilnenie potenciálu malých podnikov, ekologických inovácií a udržateľného dodávania surovín: SC5-20-2014</w:t>
        </w:r>
      </w:hyperlink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Inovatívne malé a stredné podniky boli uznané ako schopné stať sa motorom zelenej ekonomiky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a uľahčiť prechod k efektívnym  zdrojom, kruhovej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ekonomiky.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>Môžu zohrávať dôležitú úlohu pri pomoci EÚ pre odchod z ekonomickej krízy a pri vytváraní pracovných miest.</w:t>
      </w: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F640E4" w:rsidRDefault="00F640E4" w:rsidP="00F640E4">
      <w:pPr>
        <w:rPr>
          <w:rFonts w:ascii="Arial" w:hAnsi="Arial" w:cs="Arial"/>
          <w:b/>
          <w:i w:val="0"/>
          <w:sz w:val="22"/>
          <w:szCs w:val="22"/>
        </w:rPr>
      </w:pPr>
    </w:p>
    <w:p w:rsidR="00F640E4" w:rsidRPr="00167F55" w:rsidRDefault="00F640E4" w:rsidP="00F640E4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Názov:</w:t>
      </w:r>
      <w:r w:rsidRPr="00167F55">
        <w:rPr>
          <w:rFonts w:ascii="Arial" w:hAnsi="Arial" w:cs="Arial"/>
          <w:i w:val="0"/>
          <w:sz w:val="22"/>
          <w:szCs w:val="22"/>
        </w:rPr>
        <w:t xml:space="preserve"> </w:t>
      </w:r>
      <w:hyperlink r:id="rId20" w:history="1">
        <w:r w:rsidRPr="00F640E4">
          <w:rPr>
            <w:rStyle w:val="Hypertextovprepojenie"/>
            <w:rFonts w:ascii="Arial" w:hAnsi="Arial" w:cs="Arial"/>
            <w:i w:val="0"/>
            <w:sz w:val="22"/>
            <w:szCs w:val="22"/>
          </w:rPr>
          <w:t>Nástroj pre MSP: Vesmír-MSP-2014-2</w:t>
        </w:r>
      </w:hyperlink>
    </w:p>
    <w:p w:rsidR="00F640E4" w:rsidRPr="00167F55" w:rsidRDefault="00F640E4" w:rsidP="00F640E4">
      <w:pPr>
        <w:jc w:val="both"/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</w:rPr>
        <w:t xml:space="preserve"> Zapojenie MSP do vesmírneho výskumu a vývoja</w:t>
      </w:r>
      <w:r>
        <w:rPr>
          <w:rFonts w:ascii="Arial" w:hAnsi="Arial" w:cs="Arial"/>
          <w:i w:val="0"/>
          <w:sz w:val="22"/>
          <w:szCs w:val="22"/>
        </w:rPr>
        <w:t>, najmä tých, ktorí nie sú tradične zapojení a čo najviac znížiť vstupné prekážky MSP k financovaniu Horizontu 2020.</w:t>
      </w:r>
    </w:p>
    <w:p w:rsidR="00F640E4" w:rsidRPr="00167F55" w:rsidRDefault="00F640E4" w:rsidP="00F640E4">
      <w:pPr>
        <w:rPr>
          <w:rFonts w:ascii="Arial" w:hAnsi="Arial" w:cs="Arial"/>
          <w:i w:val="0"/>
          <w:sz w:val="22"/>
          <w:szCs w:val="22"/>
        </w:rPr>
      </w:pPr>
      <w:r w:rsidRPr="00167F55">
        <w:rPr>
          <w:rFonts w:ascii="Arial" w:hAnsi="Arial" w:cs="Arial"/>
          <w:b/>
          <w:i w:val="0"/>
          <w:sz w:val="22"/>
          <w:szCs w:val="22"/>
        </w:rPr>
        <w:t>Deadline:</w:t>
      </w:r>
      <w:r w:rsidRPr="00167F55">
        <w:rPr>
          <w:rFonts w:ascii="Arial" w:hAnsi="Arial" w:cs="Arial"/>
          <w:i w:val="0"/>
          <w:sz w:val="22"/>
          <w:szCs w:val="22"/>
        </w:rPr>
        <w:t xml:space="preserve"> 17.12.2014</w:t>
      </w:r>
    </w:p>
    <w:p w:rsidR="00603ADF" w:rsidRDefault="00603ADF" w:rsidP="00F640E4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9D6003">
        <w:t xml:space="preserve"> </w:t>
      </w:r>
      <w:hyperlink r:id="rId21" w:history="1">
        <w:r w:rsidRPr="00F640E4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Menej náročná na zdroje eko-inovačná výroba a spracovanie potravín: SFS-08-2014</w:t>
        </w:r>
      </w:hyperlink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E86586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Ostať konkurencieschopný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, obmedziť poškodzovanie životného prostredia a optimalizovať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efektívne využívanie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zdrojov, rozvoj viacerých </w:t>
      </w:r>
      <w:r>
        <w:rPr>
          <w:rFonts w:ascii="Arial" w:hAnsi="Arial" w:cs="Arial"/>
          <w:i w:val="0"/>
          <w:sz w:val="22"/>
          <w:szCs w:val="22"/>
          <w:lang w:val="sk-SK"/>
        </w:rPr>
        <w:t>menej náročných zdrojov a trvalo udržateľnej produkcie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a spracovania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 xml:space="preserve"> potravín, v celom potravinovom systéme, na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všetkých úrovniach podnikania konkurenčný</w:t>
      </w:r>
      <w:r w:rsidRPr="00E86586">
        <w:rPr>
          <w:rFonts w:ascii="Arial" w:hAnsi="Arial" w:cs="Arial"/>
          <w:i w:val="0"/>
          <w:sz w:val="22"/>
          <w:szCs w:val="22"/>
          <w:lang w:val="sk-SK"/>
        </w:rPr>
        <w:t>m a inovatívnym spôsobom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F640E4" w:rsidRDefault="00F640E4" w:rsidP="005E14D5">
      <w:pPr>
        <w:rPr>
          <w:rFonts w:ascii="Arial" w:hAnsi="Arial" w:cs="Arial"/>
          <w:i w:val="0"/>
          <w:sz w:val="24"/>
          <w:szCs w:val="24"/>
          <w:lang w:val="sk-SK"/>
        </w:rPr>
      </w:pP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22" w:history="1">
        <w:r w:rsidRPr="00F640E4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Podpora podnikateľského úsilia pre rozvoj – nasadenie a trhové uplatnenie inovačných riešení pre blue growth: BG-12-2014</w:t>
        </w:r>
      </w:hyperlink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Potenciál európskych oceánov, morí a pobreží je významný pre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tvorbu pracovných miest a rast v prípade, že príslušné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 xml:space="preserve"> investície do výskumu a inovácií sú </w:t>
      </w:r>
      <w:r>
        <w:rPr>
          <w:rFonts w:ascii="Arial" w:hAnsi="Arial" w:cs="Arial"/>
          <w:i w:val="0"/>
          <w:sz w:val="22"/>
          <w:szCs w:val="22"/>
          <w:lang w:val="sk-SK"/>
        </w:rPr>
        <w:t>za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be</w:t>
      </w:r>
      <w:r>
        <w:rPr>
          <w:rFonts w:ascii="Arial" w:hAnsi="Arial" w:cs="Arial"/>
          <w:i w:val="0"/>
          <w:sz w:val="22"/>
          <w:szCs w:val="22"/>
          <w:lang w:val="sk-SK"/>
        </w:rPr>
        <w:t>zpeče</w:t>
      </w:r>
      <w:r w:rsidRPr="008654E6">
        <w:rPr>
          <w:rFonts w:ascii="Arial" w:hAnsi="Arial" w:cs="Arial"/>
          <w:i w:val="0"/>
          <w:sz w:val="22"/>
          <w:szCs w:val="22"/>
          <w:lang w:val="sk-SK"/>
        </w:rPr>
        <w:t>né.</w:t>
      </w:r>
    </w:p>
    <w:p w:rsidR="00F640E4" w:rsidRDefault="00F640E4" w:rsidP="00F640E4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E10FE5" w:rsidRDefault="00E10FE5" w:rsidP="00E23D90">
      <w:pPr>
        <w:jc w:val="center"/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Pr="00167F55" w:rsidRDefault="0053196A" w:rsidP="0053196A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lastRenderedPageBreak/>
        <w:t>Názov: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3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Otvorená prierazová inovačná schéma (implementované prostredníctvom Nástroja pre MSP):ICT-37-2014</w:t>
        </w:r>
      </w:hyperlink>
    </w:p>
    <w:p w:rsidR="0053196A" w:rsidRPr="00167F55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Úlohou je poskytovať podporu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celému súboru počiatočnej fázy vysoko rizikovým inovatívnym MSP v odvetví IKT. 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Dôraz sa bude klásť na </w:t>
      </w:r>
      <w:r>
        <w:rPr>
          <w:rFonts w:ascii="Arial" w:hAnsi="Arial" w:cs="Arial"/>
          <w:i w:val="0"/>
          <w:sz w:val="22"/>
          <w:szCs w:val="22"/>
          <w:lang w:val="sk-SK"/>
        </w:rPr>
        <w:t>podnikateľský inovatívny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koncept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informačných a komunikačných te</w:t>
      </w:r>
      <w:r>
        <w:rPr>
          <w:rFonts w:ascii="Arial" w:hAnsi="Arial" w:cs="Arial"/>
          <w:i w:val="0"/>
          <w:sz w:val="22"/>
          <w:szCs w:val="22"/>
          <w:lang w:val="sk-SK"/>
        </w:rPr>
        <w:t>chnológií, produktov a služieb vzťahujúcich sa na nové súbory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pravidiel, hodnôt a modelov, k</w:t>
      </w:r>
      <w:r>
        <w:rPr>
          <w:rFonts w:ascii="Arial" w:hAnsi="Arial" w:cs="Arial"/>
          <w:i w:val="0"/>
          <w:sz w:val="22"/>
          <w:szCs w:val="22"/>
          <w:lang w:val="sk-SK"/>
        </w:rPr>
        <w:t>toré v konečnom dôsledku narušia</w:t>
      </w:r>
      <w:r w:rsidRPr="00FF5503">
        <w:rPr>
          <w:rFonts w:ascii="Arial" w:hAnsi="Arial" w:cs="Arial"/>
          <w:i w:val="0"/>
          <w:sz w:val="22"/>
          <w:szCs w:val="22"/>
          <w:lang w:val="sk-SK"/>
        </w:rPr>
        <w:t xml:space="preserve"> existujúce trhy.</w:t>
      </w:r>
    </w:p>
    <w:p w:rsidR="0053196A" w:rsidRDefault="0053196A" w:rsidP="0053196A">
      <w:pPr>
        <w:rPr>
          <w:rFonts w:ascii="Arial" w:hAnsi="Arial" w:cs="Arial"/>
          <w:i w:val="0"/>
          <w:sz w:val="22"/>
          <w:szCs w:val="22"/>
          <w:lang w:val="sk-SK"/>
        </w:rPr>
      </w:pPr>
      <w:r w:rsidRPr="00167F55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 w:rsidRPr="00167F55"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E10FE5" w:rsidRDefault="00E10FE5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24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Povzbudenie inovačného potenciálu MSP pre systém nízko uhlíkovej energie: SIE-01-2014</w:t>
        </w:r>
      </w:hyperlink>
    </w:p>
    <w:p w:rsidR="0053196A" w:rsidRPr="00D879C9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Malé a stredné podniky zohrávajú kľúčovú úlohu v rozvoji zdrojov</w:t>
      </w:r>
      <w:r>
        <w:rPr>
          <w:rFonts w:ascii="Arial" w:hAnsi="Arial" w:cs="Arial"/>
          <w:i w:val="0"/>
          <w:sz w:val="22"/>
          <w:szCs w:val="22"/>
          <w:lang w:val="sk-SK"/>
        </w:rPr>
        <w:t>o efektívnych, nákladovo efektívnych a cenovo dostupných riešení, technológií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emisie uhlíka a zefektívnenie energetického systému udržateľným spôsobom.</w:t>
      </w: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603ADF" w:rsidRDefault="00603ADF" w:rsidP="0053196A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hyperlink r:id="rId25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Malý podnik inovačného výskumu pre dopravu: IT-1-2014</w:t>
        </w:r>
      </w:hyperlink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Európske odvetvie dopravy musia mať schopnosť poskytovať tie najlepšie produkty a služby, v čase a nákladovo efektív</w:t>
      </w:r>
      <w:r>
        <w:rPr>
          <w:rFonts w:ascii="Arial" w:hAnsi="Arial" w:cs="Arial"/>
          <w:i w:val="0"/>
          <w:sz w:val="22"/>
          <w:szCs w:val="22"/>
          <w:lang w:val="sk-SK"/>
        </w:rPr>
        <w:t>nym spôsobom, aby bola zachované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 jeho vedenie a vytváranie nových pracovný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ch miest, rovnako ako riešenie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životného prostredia a mobility.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 xml:space="preserve">Úloha malých a stredných podnikov k riešeniu týchto problémov </w:t>
      </w:r>
      <w:r>
        <w:rPr>
          <w:rFonts w:ascii="Arial" w:hAnsi="Arial" w:cs="Arial"/>
          <w:i w:val="0"/>
          <w:sz w:val="22"/>
          <w:szCs w:val="22"/>
          <w:lang w:val="sk-SK"/>
        </w:rPr>
        <w:t>je dôležitá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, pretože sú hlavnými aktérmi v dodávateľských reťazcoch.</w:t>
      </w:r>
      <w:r w:rsidRPr="00114B8D">
        <w:t xml:space="preserve"> </w:t>
      </w:r>
      <w:r w:rsidRPr="00114B8D">
        <w:rPr>
          <w:rFonts w:ascii="Arial" w:hAnsi="Arial" w:cs="Arial"/>
          <w:i w:val="0"/>
          <w:sz w:val="22"/>
          <w:szCs w:val="22"/>
          <w:lang w:val="sk-SK"/>
        </w:rPr>
        <w:t>Posilnenie zapojenia slabších hráčov v inovačných aktivitách, ako aj uľahčiť zakladanie a vznik nových high-tech podnikov má prvoradý význam.</w:t>
      </w: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E10FE5" w:rsidRDefault="00E10FE5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Default="0053196A" w:rsidP="0053196A">
      <w:pPr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6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Urýchlenie zavádzania nanotechnologií, pokročilých materiálov a technológií pokročilej výroby a spracovania zo strany MSP: NMP-25-2014</w:t>
        </w:r>
      </w:hyperlink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796A01">
        <w:rPr>
          <w:rFonts w:ascii="Arial" w:hAnsi="Arial" w:cs="Arial"/>
          <w:b/>
          <w:i w:val="0"/>
          <w:sz w:val="22"/>
          <w:szCs w:val="22"/>
          <w:lang w:val="sk-SK"/>
        </w:rPr>
        <w:t xml:space="preserve">Konkrétna výzva: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Výsledky výskumu by 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mali byť využité v priemysle, 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zber</w:t>
      </w:r>
      <w:r>
        <w:rPr>
          <w:rFonts w:ascii="Arial" w:hAnsi="Arial" w:cs="Arial"/>
          <w:i w:val="0"/>
          <w:sz w:val="22"/>
          <w:szCs w:val="22"/>
          <w:lang w:val="sk-SK"/>
        </w:rPr>
        <w:t>anie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doteraz nevyužitý</w:t>
      </w:r>
      <w:r>
        <w:rPr>
          <w:rFonts w:ascii="Arial" w:hAnsi="Arial" w:cs="Arial"/>
          <w:i w:val="0"/>
          <w:sz w:val="22"/>
          <w:szCs w:val="22"/>
          <w:lang w:val="sk-SK"/>
        </w:rPr>
        <w:t>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potenciál</w:t>
      </w:r>
      <w:r>
        <w:rPr>
          <w:rFonts w:ascii="Arial" w:hAnsi="Arial" w:cs="Arial"/>
          <w:i w:val="0"/>
          <w:sz w:val="22"/>
          <w:szCs w:val="22"/>
          <w:lang w:val="sk-SK"/>
        </w:rPr>
        <w:t>nych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nanotechnológií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>, pokročilých materiálov a</w:t>
      </w:r>
      <w:r>
        <w:rPr>
          <w:rFonts w:ascii="Arial" w:hAnsi="Arial" w:cs="Arial"/>
          <w:i w:val="0"/>
          <w:sz w:val="22"/>
          <w:szCs w:val="22"/>
          <w:lang w:val="sk-SK"/>
        </w:rPr>
        <w:t> technológií pokročilej výroby a spracovania.</w:t>
      </w:r>
      <w:r w:rsidRPr="00796A01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Výskum by mal priniesť technológie a výroby k priemyselnej pripravenosti a zrelosti pre komercializáciu po projekte.</w:t>
      </w: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53196A" w:rsidRDefault="0053196A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7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Kritická ochrana infraštruktúry téma 7: Téma Nástroj pre MSP: "Ochrana mestských mäkkých cieľov a mestských kritických infraštruktúr": DRS-17-2014</w:t>
        </w:r>
      </w:hyperlink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 w:rsidRPr="00C26106">
        <w:t xml:space="preserve"> 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Cieľom je zapojiť </w:t>
      </w:r>
      <w:r>
        <w:rPr>
          <w:rFonts w:ascii="Arial" w:hAnsi="Arial" w:cs="Arial"/>
          <w:i w:val="0"/>
          <w:sz w:val="22"/>
          <w:szCs w:val="22"/>
          <w:lang w:val="sk-SK"/>
        </w:rPr>
        <w:t>NSP</w:t>
      </w:r>
      <w:r w:rsidRPr="00C26106">
        <w:rPr>
          <w:rFonts w:ascii="Arial" w:hAnsi="Arial" w:cs="Arial"/>
          <w:i w:val="0"/>
          <w:sz w:val="22"/>
          <w:szCs w:val="22"/>
          <w:lang w:val="sk-SK"/>
        </w:rPr>
        <w:t xml:space="preserve"> v oblasti bezpečnosti výskumu a vývoja, a to najmä s cieľom uľahčiť a urýchliť prechod svojich vyvinutých produktov / služieb na trh</w:t>
      </w:r>
      <w:r>
        <w:rPr>
          <w:rFonts w:ascii="Arial" w:hAnsi="Arial" w:cs="Arial"/>
          <w:i w:val="0"/>
          <w:sz w:val="22"/>
          <w:szCs w:val="22"/>
          <w:lang w:val="sk-SK"/>
        </w:rPr>
        <w:t>.</w:t>
      </w: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53196A" w:rsidRDefault="0053196A" w:rsidP="0053196A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hyperlink r:id="rId28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Klinický výskum pre validáciu biomarkerov a / alebo diagnostika zdravotníckych pomôcok: PHC-12-2014</w:t>
        </w:r>
      </w:hyperlink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Biomarkery sa používajú v klinickej praxi k popisu normálnych aj patologických stavov.</w:t>
      </w:r>
      <w:r w:rsidRPr="009D6003"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Môžu mať tiež prognostickú alebo prediktívnu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silu.</w:t>
      </w:r>
      <w:r w:rsidRPr="009D6003">
        <w:t xml:space="preserve"> 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>Preto sa stále viac používajú v lekárstve a mn</w:t>
      </w:r>
      <w:r>
        <w:rPr>
          <w:rFonts w:ascii="Arial" w:hAnsi="Arial" w:cs="Arial"/>
          <w:i w:val="0"/>
          <w:sz w:val="22"/>
          <w:szCs w:val="22"/>
          <w:lang w:val="sk-SK"/>
        </w:rPr>
        <w:t>oho potenciálnych biomarkerov je navrhnutých</w:t>
      </w:r>
      <w:r w:rsidRPr="009D6003">
        <w:rPr>
          <w:rFonts w:ascii="Arial" w:hAnsi="Arial" w:cs="Arial"/>
          <w:i w:val="0"/>
          <w:sz w:val="22"/>
          <w:szCs w:val="22"/>
          <w:lang w:val="sk-SK"/>
        </w:rPr>
        <w:t xml:space="preserve"> každý rok.</w:t>
      </w:r>
    </w:p>
    <w:p w:rsidR="00E10FE5" w:rsidRP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53196A" w:rsidRDefault="0053196A" w:rsidP="0053196A">
      <w:pPr>
        <w:jc w:val="both"/>
        <w:rPr>
          <w:rFonts w:ascii="Arial" w:hAnsi="Arial" w:cs="Arial"/>
          <w:b/>
          <w:i w:val="0"/>
          <w:sz w:val="22"/>
          <w:szCs w:val="22"/>
          <w:lang w:val="sk-SK"/>
        </w:rPr>
      </w:pP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C26106">
        <w:rPr>
          <w:rFonts w:ascii="Arial" w:hAnsi="Arial" w:cs="Arial"/>
          <w:b/>
          <w:i w:val="0"/>
          <w:sz w:val="22"/>
          <w:szCs w:val="22"/>
          <w:lang w:val="sk-SK"/>
        </w:rPr>
        <w:t>Názov:</w:t>
      </w:r>
      <w:r w:rsidRPr="00FB4B26">
        <w:t xml:space="preserve"> </w:t>
      </w:r>
      <w:hyperlink r:id="rId29" w:history="1">
        <w:r w:rsidRPr="0053196A">
          <w:rPr>
            <w:rStyle w:val="Hypertextovprepojenie"/>
            <w:rFonts w:ascii="Arial" w:hAnsi="Arial" w:cs="Arial"/>
            <w:i w:val="0"/>
            <w:sz w:val="22"/>
            <w:szCs w:val="22"/>
            <w:lang w:val="sk-SK"/>
          </w:rPr>
          <w:t>MSP podporujúce tvorbu biotechnológií na báze priemyselných procesov riadiacich konkurencieschopnosť a udržateľnosť: BIOTEC-5a-2014</w:t>
        </w:r>
      </w:hyperlink>
    </w:p>
    <w:p w:rsidR="0053196A" w:rsidRPr="00FB4B26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Konkrétna výzva:</w:t>
      </w:r>
      <w:r>
        <w:rPr>
          <w:rFonts w:ascii="Arial" w:hAnsi="Arial" w:cs="Arial"/>
          <w:b/>
          <w:i w:val="0"/>
          <w:sz w:val="22"/>
          <w:szCs w:val="22"/>
          <w:lang w:val="sk-SK"/>
        </w:rPr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Veľký počet </w:t>
      </w:r>
      <w:r>
        <w:rPr>
          <w:rFonts w:ascii="Arial" w:hAnsi="Arial" w:cs="Arial"/>
          <w:i w:val="0"/>
          <w:sz w:val="22"/>
          <w:szCs w:val="22"/>
          <w:lang w:val="sk-SK"/>
        </w:rPr>
        <w:t>MSP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, ktoré c</w:t>
      </w:r>
      <w:r>
        <w:rPr>
          <w:rFonts w:ascii="Arial" w:hAnsi="Arial" w:cs="Arial"/>
          <w:i w:val="0"/>
          <w:sz w:val="22"/>
          <w:szCs w:val="22"/>
          <w:lang w:val="sk-SK"/>
        </w:rPr>
        <w:t>harakterizujú biotechnologický sektor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EÚ zohrávajú kľúčovú úlohu v prechode na konkurencieschopné a udržat</w:t>
      </w:r>
      <w:r>
        <w:rPr>
          <w:rFonts w:ascii="Arial" w:hAnsi="Arial" w:cs="Arial"/>
          <w:i w:val="0"/>
          <w:sz w:val="22"/>
          <w:szCs w:val="22"/>
          <w:lang w:val="sk-SK"/>
        </w:rPr>
        <w:t>eľné biotechnologických procesy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.</w:t>
      </w:r>
      <w:r w:rsidRPr="00FB4B26">
        <w:t xml:space="preserve"> 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>Tieto malé a stredné podniky sa vyznačujú intenzitou vý</w:t>
      </w:r>
      <w:r>
        <w:rPr>
          <w:rFonts w:ascii="Arial" w:hAnsi="Arial" w:cs="Arial"/>
          <w:i w:val="0"/>
          <w:sz w:val="22"/>
          <w:szCs w:val="22"/>
          <w:lang w:val="sk-SK"/>
        </w:rPr>
        <w:t>skumu a dlhou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</w:t>
      </w:r>
      <w:r>
        <w:rPr>
          <w:rFonts w:ascii="Arial" w:hAnsi="Arial" w:cs="Arial"/>
          <w:i w:val="0"/>
          <w:sz w:val="22"/>
          <w:szCs w:val="22"/>
          <w:lang w:val="sk-SK"/>
        </w:rPr>
        <w:t>dobou rozbehu medzi začiatkom technologického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vývo</w:t>
      </w:r>
      <w:r>
        <w:rPr>
          <w:rFonts w:ascii="Arial" w:hAnsi="Arial" w:cs="Arial"/>
          <w:i w:val="0"/>
          <w:sz w:val="22"/>
          <w:szCs w:val="22"/>
          <w:lang w:val="sk-SK"/>
        </w:rPr>
        <w:t>ja a uvedenia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na trh. Preto je potrebné podporovať </w:t>
      </w:r>
      <w:r>
        <w:rPr>
          <w:rFonts w:ascii="Arial" w:hAnsi="Arial" w:cs="Arial"/>
          <w:i w:val="0"/>
          <w:sz w:val="22"/>
          <w:szCs w:val="22"/>
          <w:lang w:val="sk-SK"/>
        </w:rPr>
        <w:t>prekonanie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tzv</w:t>
      </w:r>
      <w:r>
        <w:rPr>
          <w:rFonts w:ascii="Arial" w:hAnsi="Arial" w:cs="Arial"/>
          <w:i w:val="0"/>
          <w:sz w:val="22"/>
          <w:szCs w:val="22"/>
          <w:lang w:val="sk-SK"/>
        </w:rPr>
        <w:t>. "údolia</w:t>
      </w:r>
      <w:r w:rsidRPr="00FB4B26">
        <w:rPr>
          <w:rFonts w:ascii="Arial" w:hAnsi="Arial" w:cs="Arial"/>
          <w:i w:val="0"/>
          <w:sz w:val="22"/>
          <w:szCs w:val="22"/>
          <w:lang w:val="sk-SK"/>
        </w:rPr>
        <w:t xml:space="preserve"> smrti".</w:t>
      </w:r>
    </w:p>
    <w:p w:rsidR="0053196A" w:rsidRDefault="0053196A" w:rsidP="0053196A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  <w:r w:rsidRPr="009D6003">
        <w:rPr>
          <w:rFonts w:ascii="Arial" w:hAnsi="Arial" w:cs="Arial"/>
          <w:b/>
          <w:i w:val="0"/>
          <w:sz w:val="22"/>
          <w:szCs w:val="22"/>
          <w:lang w:val="sk-SK"/>
        </w:rPr>
        <w:t>Deadline:</w:t>
      </w:r>
      <w:r>
        <w:rPr>
          <w:rFonts w:ascii="Arial" w:hAnsi="Arial" w:cs="Arial"/>
          <w:i w:val="0"/>
          <w:sz w:val="22"/>
          <w:szCs w:val="22"/>
          <w:lang w:val="sk-SK"/>
        </w:rPr>
        <w:t xml:space="preserve"> 17.12.2014</w:t>
      </w:r>
    </w:p>
    <w:p w:rsidR="0053196A" w:rsidRDefault="0053196A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Default="0053196A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53196A" w:rsidRDefault="0053196A" w:rsidP="0053196A">
      <w:pPr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E10FE5" w:rsidRDefault="00E10FE5" w:rsidP="00E23D90">
      <w:pPr>
        <w:jc w:val="center"/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E10FE5" w:rsidRDefault="00E10FE5" w:rsidP="00E23D90">
      <w:pPr>
        <w:jc w:val="center"/>
        <w:rPr>
          <w:rFonts w:ascii="Arial" w:hAnsi="Arial" w:cs="Arial"/>
          <w:b/>
          <w:i w:val="0"/>
          <w:sz w:val="36"/>
          <w:szCs w:val="36"/>
          <w:lang w:val="sk-SK"/>
        </w:rPr>
      </w:pPr>
    </w:p>
    <w:p w:rsidR="002A4255" w:rsidRDefault="002A4255">
      <w:pPr>
        <w:jc w:val="both"/>
        <w:rPr>
          <w:rFonts w:ascii="Arial" w:hAnsi="Arial" w:cs="Arial"/>
          <w:i w:val="0"/>
          <w:sz w:val="22"/>
          <w:szCs w:val="22"/>
          <w:lang w:val="sk-SK"/>
        </w:rPr>
      </w:pPr>
    </w:p>
    <w:sectPr w:rsidR="002A4255" w:rsidSect="00E55F39">
      <w:footerReference w:type="default" r:id="rId30"/>
      <w:type w:val="evenPage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CFF" w:rsidRDefault="00F54CFF" w:rsidP="00603ADF">
      <w:pPr>
        <w:spacing w:after="0" w:line="240" w:lineRule="auto"/>
      </w:pPr>
      <w:r>
        <w:separator/>
      </w:r>
    </w:p>
  </w:endnote>
  <w:endnote w:type="continuationSeparator" w:id="1">
    <w:p w:rsidR="00F54CFF" w:rsidRDefault="00F54CFF" w:rsidP="0060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DF" w:rsidRDefault="00603ADF">
    <w:pPr>
      <w:pStyle w:val="Pta"/>
    </w:pPr>
    <w:r w:rsidRPr="00603ADF">
      <w:drawing>
        <wp:inline distT="0" distB="0" distL="0" distR="0">
          <wp:extent cx="864000" cy="788342"/>
          <wp:effectExtent l="19050" t="0" r="0" b="0"/>
          <wp:docPr id="5" name="Obrázok 2" descr="R:\RPIC NOVE\logo v jpg\oreza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RPIC NOVE\logo v jpg\oreza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7883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603ADF">
      <w:drawing>
        <wp:inline distT="0" distB="0" distL="0" distR="0">
          <wp:extent cx="864000" cy="864000"/>
          <wp:effectExtent l="19050" t="0" r="0" b="0"/>
          <wp:docPr id="6" name="Obrázok 1" descr="R:\Loga\EEN\Logá pre infoservis\Logo-NET-S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Loga\EEN\Logá pre infoservis\Logo-NET-SK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Pr="00603ADF">
      <w:drawing>
        <wp:inline distT="0" distB="0" distL="0" distR="0">
          <wp:extent cx="864000" cy="864000"/>
          <wp:effectExtent l="19050" t="0" r="0" b="0"/>
          <wp:docPr id="7" name="Obrázok 2" descr="R:\Loga\EEN\Logá pre infoservis\logo_ce-sk-rvb-hr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Loga\EEN\Logá pre infoservis\logo_ce-sk-rvb-hr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00" cy="86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sk-SK" w:eastAsia="sk-SK" w:bidi="ar-SA"/>
      </w:rPr>
      <w:drawing>
        <wp:inline distT="0" distB="0" distL="0" distR="0">
          <wp:extent cx="5759450" cy="5759450"/>
          <wp:effectExtent l="19050" t="0" r="0" b="0"/>
          <wp:docPr id="3" name="Obrázok 3" descr="R:\Loga\EEN\Logá pre infoservis\Logo-NET-S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Loga\EEN\Logá pre infoservis\Logo-NET-SK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sdt>
      <w:sdtPr>
        <w:id w:val="969400753"/>
        <w:placeholder>
          <w:docPart w:val="0843F242DA4A40C5A265D53DE7C4CC8D"/>
        </w:placeholder>
        <w:temporary/>
        <w:showingPlcHdr/>
      </w:sdtPr>
      <w:sdtContent>
        <w:r>
          <w:t>[Zadajte text]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CFF" w:rsidRDefault="00F54CFF" w:rsidP="00603ADF">
      <w:pPr>
        <w:spacing w:after="0" w:line="240" w:lineRule="auto"/>
      </w:pPr>
      <w:r>
        <w:separator/>
      </w:r>
    </w:p>
  </w:footnote>
  <w:footnote w:type="continuationSeparator" w:id="1">
    <w:p w:rsidR="00F54CFF" w:rsidRDefault="00F54CFF" w:rsidP="00603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B2470"/>
    <w:rsid w:val="00057500"/>
    <w:rsid w:val="00067511"/>
    <w:rsid w:val="000C7A88"/>
    <w:rsid w:val="001008F1"/>
    <w:rsid w:val="00114B8D"/>
    <w:rsid w:val="00167F55"/>
    <w:rsid w:val="001F1A5F"/>
    <w:rsid w:val="002A1E84"/>
    <w:rsid w:val="002A4255"/>
    <w:rsid w:val="002F2AC0"/>
    <w:rsid w:val="003070E6"/>
    <w:rsid w:val="00334563"/>
    <w:rsid w:val="003E7A8D"/>
    <w:rsid w:val="0044548C"/>
    <w:rsid w:val="0053196A"/>
    <w:rsid w:val="005E14D5"/>
    <w:rsid w:val="00603ADF"/>
    <w:rsid w:val="0061458A"/>
    <w:rsid w:val="007176C1"/>
    <w:rsid w:val="00757E63"/>
    <w:rsid w:val="00773CFA"/>
    <w:rsid w:val="00796A01"/>
    <w:rsid w:val="007A2961"/>
    <w:rsid w:val="007E320D"/>
    <w:rsid w:val="008654E6"/>
    <w:rsid w:val="0090750A"/>
    <w:rsid w:val="00921A69"/>
    <w:rsid w:val="009D6003"/>
    <w:rsid w:val="009F3D9E"/>
    <w:rsid w:val="00A36A19"/>
    <w:rsid w:val="00A37865"/>
    <w:rsid w:val="00AE69B9"/>
    <w:rsid w:val="00B10EC1"/>
    <w:rsid w:val="00B94DC3"/>
    <w:rsid w:val="00C26106"/>
    <w:rsid w:val="00CB4CF9"/>
    <w:rsid w:val="00D41494"/>
    <w:rsid w:val="00D80335"/>
    <w:rsid w:val="00D879C9"/>
    <w:rsid w:val="00E10FE5"/>
    <w:rsid w:val="00E23D90"/>
    <w:rsid w:val="00E42A70"/>
    <w:rsid w:val="00E55F39"/>
    <w:rsid w:val="00E86586"/>
    <w:rsid w:val="00ED01D1"/>
    <w:rsid w:val="00ED4FB0"/>
    <w:rsid w:val="00F027B1"/>
    <w:rsid w:val="00F50B9E"/>
    <w:rsid w:val="00F54CFF"/>
    <w:rsid w:val="00F640E4"/>
    <w:rsid w:val="00F67BEA"/>
    <w:rsid w:val="00FB2470"/>
    <w:rsid w:val="00FB4B26"/>
    <w:rsid w:val="00FF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2AC0"/>
    <w:pPr>
      <w:spacing w:after="200" w:line="288" w:lineRule="auto"/>
    </w:pPr>
    <w:rPr>
      <w:i/>
      <w:iCs/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F2AC0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val="sk-SK" w:eastAsia="sk-SK" w:bidi="ar-SA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F2AC0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F2AC0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F2AC0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F2AC0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Theme="majorEastAsia" w:hAnsi="Cambria" w:cstheme="majorBidi"/>
      <w:b/>
      <w:bCs/>
      <w:color w:val="943634"/>
      <w:lang w:val="sk-SK" w:eastAsia="sk-SK" w:bidi="ar-SA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F2AC0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Theme="majorEastAsia" w:hAnsi="Cambria" w:cstheme="majorBidi"/>
      <w:color w:val="943634"/>
      <w:lang w:val="sk-SK" w:eastAsia="sk-SK" w:bidi="ar-SA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F2AC0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Theme="majorEastAsia" w:hAnsi="Cambria" w:cstheme="majorBidi"/>
      <w:color w:val="943634"/>
      <w:lang w:val="sk-SK" w:eastAsia="sk-SK" w:bidi="ar-SA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F2AC0"/>
    <w:pPr>
      <w:spacing w:before="200" w:after="100" w:line="240" w:lineRule="auto"/>
      <w:contextualSpacing/>
      <w:outlineLvl w:val="7"/>
    </w:pPr>
    <w:rPr>
      <w:rFonts w:ascii="Cambria" w:eastAsiaTheme="majorEastAsia" w:hAnsi="Cambria" w:cstheme="majorBidi"/>
      <w:color w:val="C0504D"/>
      <w:lang w:val="sk-SK" w:eastAsia="sk-SK" w:bidi="ar-SA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F2AC0"/>
    <w:pPr>
      <w:spacing w:before="200" w:after="100" w:line="240" w:lineRule="auto"/>
      <w:contextualSpacing/>
      <w:outlineLvl w:val="8"/>
    </w:pPr>
    <w:rPr>
      <w:rFonts w:ascii="Cambria" w:eastAsiaTheme="majorEastAsia" w:hAnsi="Cambria" w:cstheme="majorBidi"/>
      <w:color w:val="C0504D"/>
      <w:lang w:val="sk-SK"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F2AC0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3Char">
    <w:name w:val="Nadpis 3 Char"/>
    <w:basedOn w:val="Predvolenpsmoodseku"/>
    <w:link w:val="Nadpis3"/>
    <w:uiPriority w:val="9"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F2AC0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F2AC0"/>
    <w:rPr>
      <w:rFonts w:ascii="Cambria" w:eastAsiaTheme="majorEastAsia" w:hAnsi="Cambria" w:cstheme="majorBidi"/>
      <w:i/>
      <w:iCs/>
      <w:color w:val="94363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F2AC0"/>
    <w:rPr>
      <w:rFonts w:ascii="Cambria" w:eastAsiaTheme="majorEastAsia" w:hAnsi="Cambria" w:cstheme="majorBidi"/>
      <w:i/>
      <w:iCs/>
      <w:color w:val="94363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F2AC0"/>
    <w:rPr>
      <w:rFonts w:ascii="Cambria" w:eastAsiaTheme="majorEastAsia" w:hAnsi="Cambria" w:cstheme="majorBidi"/>
      <w:i/>
      <w:iCs/>
      <w:color w:val="C0504D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F2AC0"/>
    <w:rPr>
      <w:rFonts w:ascii="Cambria" w:eastAsiaTheme="majorEastAsia" w:hAnsi="Cambria" w:cstheme="majorBidi"/>
      <w:i/>
      <w:iCs/>
      <w:color w:val="C0504D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F2AC0"/>
    <w:rPr>
      <w:b/>
      <w:bCs/>
      <w:color w:val="943634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2F2AC0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Theme="majorEastAsia" w:hAnsi="Cambria" w:cstheme="majorBidi"/>
      <w:color w:val="FFFFFF"/>
      <w:spacing w:val="10"/>
      <w:sz w:val="48"/>
      <w:szCs w:val="48"/>
      <w:lang w:val="sk-SK" w:eastAsia="sk-SK" w:bidi="ar-SA"/>
    </w:rPr>
  </w:style>
  <w:style w:type="character" w:customStyle="1" w:styleId="NzovChar">
    <w:name w:val="Názov Char"/>
    <w:basedOn w:val="Predvolenpsmoodseku"/>
    <w:link w:val="Nzov"/>
    <w:uiPriority w:val="10"/>
    <w:rsid w:val="002F2AC0"/>
    <w:rPr>
      <w:rFonts w:ascii="Cambria" w:eastAsiaTheme="majorEastAsia" w:hAnsi="Cambria" w:cstheme="majorBidi"/>
      <w:i/>
      <w:iCs/>
      <w:color w:val="FFFFFF"/>
      <w:spacing w:val="10"/>
      <w:sz w:val="48"/>
      <w:szCs w:val="48"/>
      <w:shd w:val="clear" w:color="auto" w:fill="C0504D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F2AC0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Theme="majorEastAsia" w:hAnsi="Cambria" w:cstheme="majorBidi"/>
      <w:color w:val="622423"/>
      <w:sz w:val="24"/>
      <w:szCs w:val="24"/>
      <w:lang w:val="sk-SK" w:eastAsia="sk-SK" w:bidi="ar-SA"/>
    </w:rPr>
  </w:style>
  <w:style w:type="character" w:customStyle="1" w:styleId="PodtitulChar">
    <w:name w:val="Podtitul Char"/>
    <w:basedOn w:val="Predvolenpsmoodseku"/>
    <w:link w:val="Podtitul"/>
    <w:uiPriority w:val="11"/>
    <w:rsid w:val="002F2AC0"/>
    <w:rPr>
      <w:rFonts w:ascii="Cambria" w:eastAsiaTheme="majorEastAsia" w:hAnsi="Cambria" w:cstheme="majorBidi"/>
      <w:i/>
      <w:iCs/>
      <w:color w:val="622423"/>
      <w:sz w:val="24"/>
      <w:szCs w:val="24"/>
    </w:rPr>
  </w:style>
  <w:style w:type="character" w:styleId="Siln">
    <w:name w:val="Strong"/>
    <w:uiPriority w:val="22"/>
    <w:qFormat/>
    <w:rsid w:val="002F2AC0"/>
    <w:rPr>
      <w:b/>
      <w:bCs/>
      <w:spacing w:val="0"/>
    </w:rPr>
  </w:style>
  <w:style w:type="character" w:styleId="Zvraznenie">
    <w:name w:val="Emphasis"/>
    <w:uiPriority w:val="20"/>
    <w:qFormat/>
    <w:rsid w:val="002F2AC0"/>
    <w:rPr>
      <w:rFonts w:ascii="Cambria" w:eastAsiaTheme="majorEastAsia" w:hAnsi="Cambria" w:cstheme="majorBidi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Bezriadkovania">
    <w:name w:val="No Spacing"/>
    <w:basedOn w:val="Normlny"/>
    <w:uiPriority w:val="1"/>
    <w:qFormat/>
    <w:rsid w:val="002F2AC0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2F2AC0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2F2AC0"/>
    <w:rPr>
      <w:i w:val="0"/>
      <w:iCs w:val="0"/>
      <w:color w:val="943634"/>
      <w:lang w:val="sk-SK" w:eastAsia="sk-SK" w:bidi="ar-SA"/>
    </w:rPr>
  </w:style>
  <w:style w:type="character" w:customStyle="1" w:styleId="CitciaChar">
    <w:name w:val="Citácia Char"/>
    <w:basedOn w:val="Predvolenpsmoodseku"/>
    <w:link w:val="Citcia"/>
    <w:uiPriority w:val="29"/>
    <w:rsid w:val="002F2AC0"/>
    <w:rPr>
      <w:color w:val="943634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F2AC0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Theme="majorEastAsia" w:hAnsi="Cambria" w:cstheme="majorBidi"/>
      <w:b/>
      <w:bCs/>
      <w:color w:val="C0504D"/>
      <w:lang w:val="sk-SK" w:eastAsia="sk-SK" w:bidi="ar-SA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F2AC0"/>
    <w:rPr>
      <w:rFonts w:ascii="Cambria" w:eastAsiaTheme="majorEastAsia" w:hAnsi="Cambria" w:cstheme="majorBidi"/>
      <w:b/>
      <w:bCs/>
      <w:i/>
      <w:iCs/>
      <w:color w:val="C0504D"/>
    </w:rPr>
  </w:style>
  <w:style w:type="character" w:styleId="Jemnzvraznenie">
    <w:name w:val="Subtle Emphasis"/>
    <w:uiPriority w:val="19"/>
    <w:qFormat/>
    <w:rsid w:val="002F2AC0"/>
    <w:rPr>
      <w:rFonts w:ascii="Cambria" w:eastAsiaTheme="majorEastAsia" w:hAnsi="Cambria" w:cstheme="majorBidi"/>
      <w:i/>
      <w:iCs/>
      <w:color w:val="C0504D"/>
    </w:rPr>
  </w:style>
  <w:style w:type="character" w:styleId="Intenzvnezvraznenie">
    <w:name w:val="Intense Emphasis"/>
    <w:uiPriority w:val="21"/>
    <w:qFormat/>
    <w:rsid w:val="002F2AC0"/>
    <w:rPr>
      <w:rFonts w:ascii="Cambria" w:eastAsiaTheme="majorEastAsia" w:hAnsi="Cambria" w:cstheme="majorBidi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Jemnodkaz">
    <w:name w:val="Subtle Reference"/>
    <w:uiPriority w:val="31"/>
    <w:qFormat/>
    <w:rsid w:val="002F2AC0"/>
    <w:rPr>
      <w:i/>
      <w:iCs/>
      <w:smallCaps/>
      <w:color w:val="C0504D"/>
      <w:u w:color="C0504D"/>
    </w:rPr>
  </w:style>
  <w:style w:type="character" w:styleId="Intenzvnyodkaz">
    <w:name w:val="Intense Reference"/>
    <w:uiPriority w:val="32"/>
    <w:qFormat/>
    <w:rsid w:val="002F2AC0"/>
    <w:rPr>
      <w:b/>
      <w:bCs/>
      <w:i/>
      <w:iCs/>
      <w:smallCaps/>
      <w:color w:val="C0504D"/>
      <w:u w:color="C0504D"/>
    </w:rPr>
  </w:style>
  <w:style w:type="character" w:styleId="Nzovknihy">
    <w:name w:val="Book Title"/>
    <w:uiPriority w:val="33"/>
    <w:qFormat/>
    <w:rsid w:val="002F2AC0"/>
    <w:rPr>
      <w:rFonts w:ascii="Cambria" w:eastAsiaTheme="majorEastAsia" w:hAnsi="Cambria" w:cstheme="majorBidi"/>
      <w:b/>
      <w:bCs/>
      <w:i/>
      <w:iCs/>
      <w:smallCaps/>
      <w:color w:val="943634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F2AC0"/>
    <w:pPr>
      <w:outlineLvl w:val="9"/>
    </w:pPr>
    <w:rPr>
      <w:sz w:val="22"/>
      <w:szCs w:val="22"/>
      <w:lang w:val="en-US" w:eastAsia="en-US" w:bidi="en-US"/>
    </w:rPr>
  </w:style>
  <w:style w:type="character" w:styleId="Hypertextovprepojenie">
    <w:name w:val="Hyperlink"/>
    <w:basedOn w:val="Predvolenpsmoodseku"/>
    <w:uiPriority w:val="99"/>
    <w:unhideWhenUsed/>
    <w:rsid w:val="00FB2470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0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3ADF"/>
    <w:rPr>
      <w:rFonts w:ascii="Tahoma" w:hAnsi="Tahoma" w:cs="Tahoma"/>
      <w:i/>
      <w:iCs/>
      <w:sz w:val="16"/>
      <w:szCs w:val="16"/>
      <w:lang w:val="en-US" w:eastAsia="en-US" w:bidi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60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03ADF"/>
    <w:rPr>
      <w:i/>
      <w:iCs/>
      <w:lang w:val="en-US" w:eastAsia="en-US" w:bidi="en-US"/>
    </w:rPr>
  </w:style>
  <w:style w:type="paragraph" w:styleId="Pta">
    <w:name w:val="footer"/>
    <w:basedOn w:val="Normlny"/>
    <w:link w:val="PtaChar"/>
    <w:uiPriority w:val="99"/>
    <w:semiHidden/>
    <w:unhideWhenUsed/>
    <w:rsid w:val="0060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03ADF"/>
    <w:rPr>
      <w:i/>
      <w:iCs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research/participants/portal/desktop/en/opportunities/h2020/topics/2537-space-sme-2014-1.html" TargetMode="External"/><Relationship Id="rId13" Type="http://schemas.openxmlformats.org/officeDocument/2006/relationships/hyperlink" Target="http://ec.europa.eu/research/participants/portal/desktop/en/opportunities/h2020/topics/2542-bg-12-2014-1.html" TargetMode="External"/><Relationship Id="rId18" Type="http://schemas.openxmlformats.org/officeDocument/2006/relationships/hyperlink" Target="http://ec.europa.eu/research/participants/portal/desktop/en/opportunities/h2020/topics/2547-biotec-5a-2014-1.html" TargetMode="External"/><Relationship Id="rId26" Type="http://schemas.openxmlformats.org/officeDocument/2006/relationships/hyperlink" Target="http://ec.europa.eu/research/participants/portal/desktop/en/opportunities/h2020/topics/2592-nmp-25-2014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.europa.eu/research/participants/portal/desktop/en/opportunities/h2020/topics/2587-sfs-08-2014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c.europa.eu/research/participants/portal/desktop/en/opportunities/h2020/topics/2541-sfs-08-2014-1.html" TargetMode="External"/><Relationship Id="rId17" Type="http://schemas.openxmlformats.org/officeDocument/2006/relationships/hyperlink" Target="http://ec.europa.eu/research/participants/portal/desktop/en/opportunities/h2020/topics/2546-drs-17-2014-1.html" TargetMode="External"/><Relationship Id="rId25" Type="http://schemas.openxmlformats.org/officeDocument/2006/relationships/hyperlink" Target="http://ec.europa.eu/research/participants/portal/desktop/en/opportunities/h2020/topics/2591-it-1-2014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c.europa.eu/research/participants/portal/desktop/en/opportunities/h2020/topics/2545-sc5-20-2014-1.html" TargetMode="External"/><Relationship Id="rId20" Type="http://schemas.openxmlformats.org/officeDocument/2006/relationships/hyperlink" Target="http://ec.europa.eu/research/participants/portal/desktop/en/opportunities/h2020/topics/2586-space-sme-2014-2.html" TargetMode="External"/><Relationship Id="rId29" Type="http://schemas.openxmlformats.org/officeDocument/2006/relationships/hyperlink" Target="http://ec.europa.eu/research/participants/portal/desktop/en/opportunities/h2020/topics/2595-biotec-5a-2014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c.europa.eu/research/participants/portal/desktop/en/opportunities/h2020/topics/2540-phc-12-2014-1.html" TargetMode="External"/><Relationship Id="rId24" Type="http://schemas.openxmlformats.org/officeDocument/2006/relationships/hyperlink" Target="http://ec.europa.eu/research/participants/portal/desktop/en/opportunities/h2020/topics/2590-sie-01-2014.html" TargetMode="External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ec.europa.eu/research/participants/portal/desktop/en/opportunities/h2020/topics/2544-it-1-2014-1.html" TargetMode="External"/><Relationship Id="rId23" Type="http://schemas.openxmlformats.org/officeDocument/2006/relationships/hyperlink" Target="http://ec.europa.eu/research/participants/portal/desktop/en/opportunities/h2020/topics/2589-ict-37-2014.html" TargetMode="External"/><Relationship Id="rId28" Type="http://schemas.openxmlformats.org/officeDocument/2006/relationships/hyperlink" Target="http://ec.europa.eu/research/participants/portal/desktop/en/opportunities/h2020/topics/2594-phc-12-2014.html" TargetMode="External"/><Relationship Id="rId10" Type="http://schemas.openxmlformats.org/officeDocument/2006/relationships/hyperlink" Target="http://ec.europa.eu/research/participants/portal/desktop/en/opportunities/h2020/topics/2539-nmp-25-2014-1.html" TargetMode="External"/><Relationship Id="rId19" Type="http://schemas.openxmlformats.org/officeDocument/2006/relationships/hyperlink" Target="http://ec.europa.eu/research/participants/portal/desktop/en/opportunities/h2020/topics/2585-sc5-20-2014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c.europa.eu/research/participants/portal/desktop/en/opportunities/h2020/topics/2538-ict-37-2014-1.html" TargetMode="External"/><Relationship Id="rId14" Type="http://schemas.openxmlformats.org/officeDocument/2006/relationships/hyperlink" Target="http://ec.europa.eu/research/participants/portal/desktop/en/opportunities/h2020/topics/2543-sie-01-2014-1.html" TargetMode="External"/><Relationship Id="rId22" Type="http://schemas.openxmlformats.org/officeDocument/2006/relationships/hyperlink" Target="http://ec.europa.eu/research/participants/portal/desktop/en/opportunities/h2020/topics/2588-bg-12-2014.html" TargetMode="External"/><Relationship Id="rId27" Type="http://schemas.openxmlformats.org/officeDocument/2006/relationships/hyperlink" Target="http://ec.europa.eu/research/participants/portal/desktop/en/opportunities/h2020/topics/2593-drs-17-2014.html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43F242DA4A40C5A265D53DE7C4CC8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6CCF233-6E03-49DE-B91E-F42A8A3AE37C}"/>
      </w:docPartPr>
      <w:docPartBody>
        <w:p w:rsidR="00000000" w:rsidRDefault="00D764E6" w:rsidP="00D764E6">
          <w:pPr>
            <w:pStyle w:val="0843F242DA4A40C5A265D53DE7C4CC8D"/>
          </w:pPr>
          <w:r>
            <w:t>[Zadajte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D764E6"/>
    <w:rsid w:val="007F0C06"/>
    <w:rsid w:val="00D76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067BFC219D36405E84F751E830A9512F">
    <w:name w:val="067BFC219D36405E84F751E830A9512F"/>
    <w:rsid w:val="00D764E6"/>
  </w:style>
  <w:style w:type="paragraph" w:customStyle="1" w:styleId="D47B66B1547B439092156014D26A27AF">
    <w:name w:val="D47B66B1547B439092156014D26A27AF"/>
    <w:rsid w:val="00D764E6"/>
  </w:style>
  <w:style w:type="paragraph" w:customStyle="1" w:styleId="0843F242DA4A40C5A265D53DE7C4CC8D">
    <w:name w:val="0843F242DA4A40C5A265D53DE7C4CC8D"/>
    <w:rsid w:val="00D764E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32CCC-7BC5-4165-8CEE-0D8903DCD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lkrisova</dc:creator>
  <cp:keywords/>
  <dc:description/>
  <cp:lastModifiedBy>lkrisova</cp:lastModifiedBy>
  <cp:revision>20</cp:revision>
  <dcterms:created xsi:type="dcterms:W3CDTF">2014-03-27T12:41:00Z</dcterms:created>
  <dcterms:modified xsi:type="dcterms:W3CDTF">2014-03-28T09:01:00Z</dcterms:modified>
</cp:coreProperties>
</file>